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21B4D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57275" cy="983615"/>
            <wp:effectExtent l="0" t="0" r="9525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8E8AF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5C29">
      <w:pPr>
        <w:pStyle w:val="2"/>
        <w:spacing w:before="282" w:line="194" w:lineRule="auto"/>
        <w:ind w:left="543"/>
        <w:rPr>
          <w:sz w:val="27"/>
          <w:szCs w:val="27"/>
        </w:rPr>
      </w:pPr>
      <w:r>
        <w:rPr>
          <w:b/>
          <w:bCs/>
          <w:sz w:val="27"/>
          <w:szCs w:val="27"/>
        </w:rPr>
        <w:t>JAK</w:t>
      </w:r>
      <w:r>
        <w:rPr>
          <w:b/>
          <w:bCs/>
          <w:spacing w:val="6"/>
          <w:sz w:val="27"/>
          <w:szCs w:val="27"/>
        </w:rPr>
        <w:t>2 (R683G)</w:t>
      </w:r>
    </w:p>
    <w:p w14:paraId="0DF4D446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26314</w:t>
      </w:r>
    </w:p>
    <w:p w14:paraId="08E75F55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JAK2, JTK10, THCYT3</w:t>
      </w:r>
    </w:p>
    <w:p w14:paraId="5D70FFD0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Anti-JAK2 (R683G) Mouse Mon</w:t>
      </w:r>
      <w:r>
        <w:rPr>
          <w:spacing w:val="-1"/>
        </w:rPr>
        <w:t>oclonal Antibody</w:t>
      </w:r>
    </w:p>
    <w:p w14:paraId="6AA3B947">
      <w:pPr>
        <w:spacing w:before="150"/>
      </w:pPr>
    </w:p>
    <w:p w14:paraId="6B6D8662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F3BFAB0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t>JAK2 is a non-recepto</w:t>
      </w:r>
      <w:r>
        <w:rPr>
          <w:spacing w:val="-1"/>
        </w:rPr>
        <w:t>r tyrosine</w:t>
      </w:r>
    </w:p>
    <w:p w14:paraId="02FD9EB2">
      <w:pPr>
        <w:pStyle w:val="2"/>
        <w:spacing w:before="117" w:line="294" w:lineRule="auto"/>
        <w:ind w:left="546" w:right="475" w:hanging="5"/>
      </w:pPr>
      <w:r>
        <w:t>kinase. It is a number</w:t>
      </w:r>
      <w:r>
        <w:rPr>
          <w:spacing w:val="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Janus kinase</w:t>
      </w:r>
      <w:r>
        <w:rPr>
          <w:spacing w:val="11"/>
        </w:rPr>
        <w:t xml:space="preserve"> </w:t>
      </w:r>
      <w:r>
        <w:rPr>
          <w:spacing w:val="-1"/>
        </w:rPr>
        <w:t>family</w:t>
      </w:r>
      <w:r>
        <w:t xml:space="preserve"> and has been implicat</w:t>
      </w:r>
      <w:r>
        <w:rPr>
          <w:spacing w:val="-1"/>
        </w:rPr>
        <w:t>ed in</w:t>
      </w:r>
      <w:r>
        <w:rPr>
          <w:spacing w:val="11"/>
        </w:rPr>
        <w:t xml:space="preserve"> </w:t>
      </w:r>
      <w:r>
        <w:rPr>
          <w:spacing w:val="-1"/>
        </w:rPr>
        <w:t>ssignaling by</w:t>
      </w:r>
    </w:p>
    <w:p w14:paraId="28004571">
      <w:pPr>
        <w:pStyle w:val="2"/>
        <w:spacing w:before="1" w:line="297" w:lineRule="auto"/>
        <w:ind w:left="541" w:right="379"/>
      </w:pPr>
      <w:r>
        <w:rPr>
          <w:spacing w:val="-1"/>
        </w:rPr>
        <w:t>members of</w:t>
      </w:r>
      <w:r>
        <w:rPr>
          <w:spacing w:val="-12"/>
        </w:rPr>
        <w:t xml:space="preserve"> </w:t>
      </w:r>
      <w:r>
        <w:rPr>
          <w:spacing w:val="-1"/>
        </w:rPr>
        <w:t xml:space="preserve">the type   </w:t>
      </w:r>
      <w:r>
        <w:rPr>
          <w:rFonts w:ascii="宋体" w:hAnsi="宋体" w:eastAsia="宋体" w:cs="宋体"/>
          <w:spacing w:val="-1"/>
        </w:rPr>
        <w:t>Ⅱ</w:t>
      </w:r>
      <w:r>
        <w:rPr>
          <w:spacing w:val="-1"/>
        </w:rPr>
        <w:t>cyt</w:t>
      </w:r>
      <w:r>
        <w:rPr>
          <w:spacing w:val="-2"/>
        </w:rPr>
        <w:t>okine receptor</w:t>
      </w:r>
      <w:r>
        <w:rPr>
          <w:spacing w:val="14"/>
        </w:rPr>
        <w:t xml:space="preserve"> </w:t>
      </w:r>
      <w:r>
        <w:rPr>
          <w:spacing w:val="-2"/>
        </w:rPr>
        <w:t>family,</w:t>
      </w:r>
      <w:r>
        <w:t xml:space="preserve"> the GM-CSF receptor famil</w:t>
      </w:r>
      <w:r>
        <w:rPr>
          <w:spacing w:val="-1"/>
        </w:rPr>
        <w:t>y, the gp130 receptor</w:t>
      </w:r>
      <w:r>
        <w:t xml:space="preserve">  </w:t>
      </w:r>
      <w:r>
        <w:rPr>
          <w:spacing w:val="-1"/>
        </w:rPr>
        <w:t>family, and the</w:t>
      </w:r>
      <w:r>
        <w:rPr>
          <w:spacing w:val="30"/>
        </w:rPr>
        <w:t xml:space="preserve"> </w:t>
      </w:r>
      <w:r>
        <w:rPr>
          <w:spacing w:val="-1"/>
        </w:rPr>
        <w:t>single chain receptors. JAK2</w:t>
      </w:r>
    </w:p>
    <w:p w14:paraId="6D4F770C">
      <w:pPr>
        <w:pStyle w:val="2"/>
        <w:spacing w:before="33" w:line="294" w:lineRule="auto"/>
        <w:ind w:left="541" w:right="332" w:firstLine="5"/>
      </w:pPr>
      <w:r>
        <w:t>orthologs have been identifi</w:t>
      </w:r>
      <w:r>
        <w:rPr>
          <w:spacing w:val="-1"/>
        </w:rPr>
        <w:t>ed in all mammals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which complete genome</w:t>
      </w:r>
      <w:r>
        <w:rPr>
          <w:spacing w:val="23"/>
        </w:rPr>
        <w:t xml:space="preserve"> </w:t>
      </w:r>
      <w:r>
        <w:rPr>
          <w:spacing w:val="-1"/>
        </w:rPr>
        <w:t>genome</w:t>
      </w:r>
      <w:r>
        <w:rPr>
          <w:spacing w:val="15"/>
        </w:rPr>
        <w:t xml:space="preserve"> </w:t>
      </w:r>
      <w:r>
        <w:rPr>
          <w:spacing w:val="-1"/>
        </w:rPr>
        <w:t>data are</w:t>
      </w:r>
    </w:p>
    <w:p w14:paraId="10BA76FC">
      <w:pPr>
        <w:pStyle w:val="2"/>
        <w:spacing w:before="32" w:line="193" w:lineRule="auto"/>
        <w:ind w:left="547"/>
      </w:pPr>
      <w:r>
        <w:t>available. Mutations of</w:t>
      </w:r>
      <w:r>
        <w:rPr>
          <w:spacing w:val="-11"/>
        </w:rPr>
        <w:t xml:space="preserve"> </w:t>
      </w:r>
      <w:r>
        <w:t>JAK2 have been</w:t>
      </w:r>
    </w:p>
    <w:p w14:paraId="0C681B64">
      <w:pPr>
        <w:pStyle w:val="2"/>
        <w:spacing w:before="118" w:line="193" w:lineRule="auto"/>
        <w:ind w:left="546"/>
      </w:pPr>
      <w:r>
        <w:t xml:space="preserve">implicated in polycythemia vera, </w:t>
      </w:r>
      <w:r>
        <w:rPr>
          <w:spacing w:val="-1"/>
        </w:rPr>
        <w:t>essential</w:t>
      </w:r>
    </w:p>
    <w:p w14:paraId="51B0DB23">
      <w:pPr>
        <w:pStyle w:val="2"/>
        <w:spacing w:before="118" w:line="294" w:lineRule="auto"/>
        <w:ind w:left="547" w:right="552" w:hanging="5"/>
      </w:pPr>
      <w:r>
        <w:t>thrombocythemia, and myelofibrosis as well as</w:t>
      </w:r>
      <w:r>
        <w:rPr>
          <w:spacing w:val="1"/>
        </w:rPr>
        <w:t xml:space="preserve"> </w:t>
      </w:r>
      <w:r>
        <w:t>other myeloproliferativ</w:t>
      </w:r>
      <w:r>
        <w:rPr>
          <w:spacing w:val="-1"/>
        </w:rPr>
        <w:t>e disorders.</w:t>
      </w:r>
    </w:p>
    <w:p w14:paraId="21CF0951">
      <w:pPr>
        <w:pStyle w:val="2"/>
        <w:spacing w:before="33" w:line="299" w:lineRule="auto"/>
        <w:ind w:left="541" w:right="895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3"/>
        </w:rPr>
        <w:t xml:space="preserve">  </w:t>
      </w: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JAK</w:t>
      </w:r>
      <w:r>
        <w:rPr>
          <w:spacing w:val="1"/>
        </w:rPr>
        <w:t xml:space="preserve">2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the mutation of</w:t>
      </w:r>
      <w:r>
        <w:rPr>
          <w:spacing w:val="-6"/>
        </w:rPr>
        <w:t xml:space="preserve"> </w:t>
      </w:r>
      <w:r>
        <w:t>R683G, human origin.</w:t>
      </w:r>
    </w:p>
    <w:p w14:paraId="2E78AD1D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2558BFC">
      <w:pPr>
        <w:pStyle w:val="2"/>
        <w:spacing w:before="40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29A268F6">
      <w:pPr>
        <w:pStyle w:val="2"/>
        <w:spacing w:before="121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3E2DD916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3074379D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Concentration: </w:t>
      </w:r>
      <w:r>
        <w:rPr>
          <w:spacing w:val="-1"/>
        </w:rPr>
        <w:t>0.5 mg/ml</w:t>
      </w:r>
    </w:p>
    <w:p w14:paraId="50A389E8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A5C279F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5E53935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01E56F6C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0C796589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0B455EFD">
      <w:pPr>
        <w:pStyle w:val="2"/>
        <w:spacing w:before="107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0E06C584">
      <w:pPr>
        <w:pStyle w:val="2"/>
        <w:spacing w:before="35" w:line="294" w:lineRule="auto"/>
        <w:ind w:left="539" w:right="471" w:firstLine="11"/>
      </w:pPr>
      <w:r>
        <w:rPr>
          <w:b/>
          <w:bCs/>
        </w:rPr>
        <w:t xml:space="preserve">Species Reactivity: </w:t>
      </w:r>
      <w:r>
        <w:t>Recognize</w:t>
      </w:r>
      <w:r>
        <w:rPr>
          <w:spacing w:val="-1"/>
        </w:rPr>
        <w:t>s R683G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JAK</w:t>
      </w:r>
      <w:r>
        <w:rPr>
          <w:spacing w:val="2"/>
        </w:rPr>
        <w:t xml:space="preserve">2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2"/>
        </w:rPr>
        <w:t>.</w:t>
      </w:r>
    </w:p>
    <w:p w14:paraId="17D2E5DE">
      <w:pPr>
        <w:pStyle w:val="2"/>
        <w:spacing w:before="33" w:line="294" w:lineRule="auto"/>
        <w:ind w:left="548" w:right="86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DF0F03F">
      <w:pPr>
        <w:spacing w:line="32" w:lineRule="exact"/>
      </w:pPr>
    </w:p>
    <w:p w14:paraId="1A017CA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F460049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54F21D3A">
      <w:pPr>
        <w:spacing w:line="276" w:lineRule="auto"/>
        <w:rPr>
          <w:rFonts w:ascii="Arial"/>
          <w:sz w:val="21"/>
        </w:rPr>
      </w:pPr>
    </w:p>
    <w:p w14:paraId="7EDDE048">
      <w:pPr>
        <w:spacing w:before="1" w:line="3550" w:lineRule="exact"/>
        <w:ind w:firstLine="762"/>
      </w:pPr>
      <w:r>
        <w:rPr>
          <w:position w:val="-70"/>
        </w:rPr>
        <w:drawing>
          <wp:inline distT="0" distB="0" distL="0" distR="0">
            <wp:extent cx="1568450" cy="22536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9073" cy="2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5BF9">
      <w:pPr>
        <w:spacing w:line="286" w:lineRule="auto"/>
        <w:rPr>
          <w:rFonts w:ascii="Arial"/>
          <w:sz w:val="21"/>
        </w:rPr>
      </w:pPr>
    </w:p>
    <w:p w14:paraId="4729FEBF">
      <w:pPr>
        <w:pStyle w:val="2"/>
        <w:spacing w:before="61" w:line="293" w:lineRule="auto"/>
        <w:ind w:left="8" w:right="975" w:hanging="6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JAK2</w:t>
      </w:r>
      <w:r>
        <w:rPr>
          <w:b/>
          <w:bCs/>
        </w:rPr>
        <w:t xml:space="preserve"> (R683G) and wildtype pro</w:t>
      </w:r>
      <w:r>
        <w:rPr>
          <w:b/>
          <w:bCs/>
          <w:spacing w:val="-1"/>
        </w:rPr>
        <w:t xml:space="preserve">teins. </w:t>
      </w:r>
      <w:r>
        <w:rPr>
          <w:spacing w:val="-1"/>
        </w:rPr>
        <w:t>Purified</w:t>
      </w:r>
    </w:p>
    <w:p w14:paraId="72EF65E5">
      <w:pPr>
        <w:pStyle w:val="2"/>
        <w:spacing w:before="32" w:line="302" w:lineRule="auto"/>
        <w:ind w:right="975" w:firstLine="3"/>
      </w:pPr>
      <w:r>
        <w:t>His-tagged JAK2 (R683G) protein (lane</w:t>
      </w:r>
      <w:r>
        <w:rPr>
          <w:spacing w:val="-1"/>
        </w:rPr>
        <w:t>2) and</w:t>
      </w:r>
      <w:r>
        <w:t xml:space="preserve"> corresponding wild-type protein (lane1) were   blotted with anti-JAK2 (R683G) monoclon</w:t>
      </w:r>
      <w:r>
        <w:rPr>
          <w:spacing w:val="-1"/>
        </w:rPr>
        <w:t>al</w:t>
      </w:r>
      <w:r>
        <w:t xml:space="preserve">   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#26314).</w:t>
      </w:r>
    </w:p>
    <w:p w14:paraId="6E69DEAD">
      <w:pPr>
        <w:spacing w:line="30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3A1F00C7">
      <w:pPr>
        <w:spacing w:before="47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96E53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68F2901C">
      <w:pPr>
        <w:spacing w:line="149" w:lineRule="exact"/>
      </w:pPr>
    </w:p>
    <w:p w14:paraId="57573F2F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8F43442">
      <w:pPr>
        <w:pStyle w:val="2"/>
        <w:spacing w:before="48" w:line="252" w:lineRule="auto"/>
        <w:ind w:left="225" w:right="1498" w:hanging="225"/>
      </w:pPr>
    </w:p>
    <w:p w14:paraId="3FC3813D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58A33774">
      <w:pPr>
        <w:spacing w:line="1305" w:lineRule="exact"/>
        <w:ind w:firstLine="540"/>
      </w:pPr>
    </w:p>
    <w:p w14:paraId="30F772F7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44F1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4E8AE363">
      <w:pPr>
        <w:spacing w:before="157" w:line="4500" w:lineRule="exact"/>
        <w:ind w:firstLine="799"/>
      </w:pPr>
      <w:r>
        <w:rPr>
          <w:position w:val="-90"/>
        </w:rPr>
        <w:drawing>
          <wp:inline distT="0" distB="0" distL="0" distR="0">
            <wp:extent cx="5113655" cy="28575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3922" cy="285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1EB27">
      <w:pPr>
        <w:pStyle w:val="2"/>
        <w:spacing w:before="145" w:line="189" w:lineRule="auto"/>
        <w:ind w:left="544"/>
      </w:pPr>
      <w:r>
        <w:rPr>
          <w:b/>
          <w:bCs/>
        </w:rPr>
        <w:t>Immunofluorescence of cells expressing JAK2 proteins with anti-JA</w:t>
      </w:r>
      <w:r>
        <w:rPr>
          <w:b/>
          <w:bCs/>
          <w:spacing w:val="-1"/>
        </w:rPr>
        <w:t>K2 (R683G) antibody.</w:t>
      </w:r>
    </w:p>
    <w:p w14:paraId="327ECFA2">
      <w:pPr>
        <w:pStyle w:val="2"/>
        <w:spacing w:before="116" w:line="300" w:lineRule="auto"/>
        <w:ind w:left="547" w:right="860" w:hanging="4"/>
      </w:pPr>
      <w:r>
        <w:t>HEK293T cells were transfected with pCDNA3-GFP-JAK2 (R683G) plasmid, pCDNA3-GFP</w:t>
      </w:r>
      <w:r>
        <w:rPr>
          <w:spacing w:val="-1"/>
        </w:rPr>
        <w:t>-JAK2</w:t>
      </w:r>
      <w:r>
        <w:t xml:space="preserve">    (WT) plasmid, pCDNA3-GFP-JAK2 (R683S) plasmid or pCDNA3-GFP-JAK2 (R683T) pl</w:t>
      </w:r>
      <w:r>
        <w:rPr>
          <w:spacing w:val="-1"/>
        </w:rPr>
        <w:t>asmid, then</w:t>
      </w:r>
      <w:r>
        <w:t xml:space="preserve"> fixed and stained with anti-JAK2 (R683G) monoclon</w:t>
      </w:r>
      <w:r>
        <w:rPr>
          <w:spacing w:val="-1"/>
        </w:rPr>
        <w:t>al</w:t>
      </w:r>
      <w:r>
        <w:rPr>
          <w:spacing w:val="11"/>
        </w:rPr>
        <w:t xml:space="preserve"> </w:t>
      </w:r>
      <w:r>
        <w:rPr>
          <w:spacing w:val="-1"/>
        </w:rPr>
        <w:t>antibody</w:t>
      </w:r>
      <w:r>
        <w:rPr>
          <w:spacing w:val="14"/>
          <w:w w:val="101"/>
        </w:rPr>
        <w:t xml:space="preserve"> </w:t>
      </w:r>
      <w:r>
        <w:rPr>
          <w:spacing w:val="-1"/>
        </w:rPr>
        <w:t>(Cat.</w:t>
      </w:r>
      <w:r>
        <w:rPr>
          <w:spacing w:val="4"/>
        </w:rPr>
        <w:t xml:space="preserve"> </w:t>
      </w:r>
      <w:r>
        <w:rPr>
          <w:spacing w:val="-1"/>
        </w:rPr>
        <w:t>#26314).</w:t>
      </w:r>
    </w:p>
    <w:p w14:paraId="60590A01">
      <w:pPr>
        <w:spacing w:line="248" w:lineRule="auto"/>
        <w:rPr>
          <w:rFonts w:ascii="Arial"/>
          <w:sz w:val="21"/>
        </w:rPr>
      </w:pPr>
    </w:p>
    <w:p w14:paraId="39D5A62F">
      <w:pPr>
        <w:spacing w:line="248" w:lineRule="auto"/>
        <w:rPr>
          <w:rFonts w:ascii="Arial"/>
          <w:sz w:val="21"/>
        </w:rPr>
      </w:pPr>
    </w:p>
    <w:p w14:paraId="792B8DB4">
      <w:pPr>
        <w:spacing w:line="248" w:lineRule="auto"/>
        <w:rPr>
          <w:rFonts w:ascii="Arial"/>
          <w:sz w:val="21"/>
        </w:rPr>
      </w:pPr>
    </w:p>
    <w:p w14:paraId="4CED0AF2">
      <w:pPr>
        <w:spacing w:line="248" w:lineRule="auto"/>
        <w:rPr>
          <w:rFonts w:ascii="Arial"/>
          <w:sz w:val="21"/>
        </w:rPr>
      </w:pPr>
    </w:p>
    <w:p w14:paraId="43679A58">
      <w:pPr>
        <w:spacing w:line="248" w:lineRule="auto"/>
        <w:rPr>
          <w:rFonts w:ascii="Arial"/>
          <w:sz w:val="21"/>
        </w:rPr>
      </w:pPr>
    </w:p>
    <w:p w14:paraId="41FE51B8">
      <w:pPr>
        <w:spacing w:line="248" w:lineRule="auto"/>
        <w:rPr>
          <w:rFonts w:ascii="Arial"/>
          <w:sz w:val="21"/>
        </w:rPr>
      </w:pPr>
    </w:p>
    <w:p w14:paraId="1F30D57F">
      <w:pPr>
        <w:spacing w:line="248" w:lineRule="auto"/>
        <w:rPr>
          <w:rFonts w:ascii="Arial"/>
          <w:sz w:val="21"/>
        </w:rPr>
      </w:pPr>
    </w:p>
    <w:p w14:paraId="207DD269">
      <w:pPr>
        <w:spacing w:line="248" w:lineRule="auto"/>
        <w:rPr>
          <w:rFonts w:ascii="Arial"/>
          <w:sz w:val="21"/>
        </w:rPr>
      </w:pPr>
    </w:p>
    <w:p w14:paraId="268053B9">
      <w:pPr>
        <w:spacing w:line="248" w:lineRule="auto"/>
        <w:rPr>
          <w:rFonts w:ascii="Arial"/>
          <w:sz w:val="21"/>
        </w:rPr>
      </w:pPr>
    </w:p>
    <w:p w14:paraId="739671EF">
      <w:pPr>
        <w:spacing w:line="248" w:lineRule="auto"/>
        <w:rPr>
          <w:rFonts w:ascii="Arial"/>
          <w:sz w:val="21"/>
        </w:rPr>
      </w:pPr>
    </w:p>
    <w:p w14:paraId="5028C51D">
      <w:pPr>
        <w:spacing w:line="248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0EA885D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4C00D60D">
      <w:pPr>
        <w:spacing w:line="248" w:lineRule="auto"/>
        <w:rPr>
          <w:rFonts w:ascii="Arial"/>
          <w:sz w:val="21"/>
        </w:rPr>
      </w:pPr>
    </w:p>
    <w:p w14:paraId="1E90572D">
      <w:pPr>
        <w:spacing w:line="248" w:lineRule="auto"/>
        <w:rPr>
          <w:rFonts w:ascii="Arial"/>
          <w:sz w:val="21"/>
        </w:rPr>
      </w:pPr>
    </w:p>
    <w:p w14:paraId="76E19FDF">
      <w:pPr>
        <w:spacing w:line="248" w:lineRule="auto"/>
        <w:rPr>
          <w:rFonts w:ascii="Arial"/>
          <w:sz w:val="21"/>
        </w:rPr>
      </w:pPr>
    </w:p>
    <w:p w14:paraId="1D1FB1B9">
      <w:pPr>
        <w:spacing w:line="248" w:lineRule="auto"/>
        <w:rPr>
          <w:rFonts w:ascii="Arial"/>
          <w:sz w:val="21"/>
        </w:rPr>
      </w:pPr>
    </w:p>
    <w:p w14:paraId="18AF4F49">
      <w:pPr>
        <w:spacing w:line="248" w:lineRule="auto"/>
        <w:rPr>
          <w:rFonts w:ascii="Arial"/>
          <w:sz w:val="21"/>
        </w:rPr>
      </w:pPr>
    </w:p>
    <w:p w14:paraId="290A2B8F">
      <w:pPr>
        <w:spacing w:line="249" w:lineRule="auto"/>
        <w:rPr>
          <w:rFonts w:ascii="Arial"/>
          <w:sz w:val="21"/>
        </w:rPr>
      </w:pPr>
    </w:p>
    <w:p w14:paraId="72BCE8F9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356F7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6B47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274</Words>
  <Characters>1774</Characters>
  <TotalTime>1</TotalTime>
  <ScaleCrop>false</ScaleCrop>
  <LinksUpToDate>false</LinksUpToDate>
  <CharactersWithSpaces>2048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2016-07-26T09:00:00Z</dcterms:created>
  <dc:creator>Limin Wang</dc:creator>
  <cp:lastModifiedBy>周亿福</cp:lastModifiedBy>
  <dcterms:modified xsi:type="dcterms:W3CDTF">2025-08-14T07:46:10Z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A956B6B8A06046198AD4150B9CB08BD0_12</vt:lpwstr>
  </property>
</Properties>
</file>